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0A3B7D">
        <w:rPr>
          <w:rFonts w:ascii="Times New Roman" w:hAnsi="Times New Roman" w:cs="Times New Roman"/>
          <w:sz w:val="24"/>
          <w:szCs w:val="24"/>
        </w:rPr>
        <w:t xml:space="preserve">от </w:t>
      </w:r>
      <w:r w:rsidR="005E1574" w:rsidRPr="000A3B7D">
        <w:rPr>
          <w:rFonts w:ascii="Times New Roman" w:hAnsi="Times New Roman" w:cs="Times New Roman"/>
          <w:sz w:val="24"/>
          <w:szCs w:val="24"/>
        </w:rPr>
        <w:t>27 апреля</w:t>
      </w:r>
      <w:r w:rsidRPr="000A3B7D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0A3B7D">
        <w:rPr>
          <w:rFonts w:ascii="Times New Roman" w:hAnsi="Times New Roman" w:cs="Times New Roman"/>
          <w:sz w:val="24"/>
          <w:szCs w:val="24"/>
        </w:rPr>
        <w:t>6</w:t>
      </w:r>
      <w:r w:rsidRPr="000A3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0A3B7D">
        <w:rPr>
          <w:rFonts w:ascii="Times New Roman" w:hAnsi="Times New Roman" w:cs="Times New Roman"/>
          <w:sz w:val="24"/>
          <w:szCs w:val="24"/>
        </w:rPr>
        <w:t xml:space="preserve"> № </w:t>
      </w:r>
      <w:r w:rsidR="000A3B7D" w:rsidRPr="000A3B7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959"/>
        <w:gridCol w:w="3255"/>
        <w:gridCol w:w="7839"/>
      </w:tblGrid>
      <w:tr w:rsidR="00965C34" w:rsidRPr="00965C34" w:rsidTr="00965C34">
        <w:trPr>
          <w:trHeight w:val="353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9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255" w:type="dxa"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839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965C34" w:rsidRPr="00965C34" w:rsidTr="00965C34">
        <w:trPr>
          <w:trHeight w:val="298"/>
        </w:trPr>
        <w:tc>
          <w:tcPr>
            <w:tcW w:w="740" w:type="dxa"/>
            <w:vMerge w:val="restart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Котельная, назначение – нежилое, этажность – 1, общей площадью 150,7 м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, адрес объекта: Ханты-Мансийский автономный округ –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д. Шапша, </w:t>
            </w: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ул. Молодежная, свидетельство                   о государственной регистрации права серия 86-АБ,                № 987302  </w:t>
            </w: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от 21.12.2014</w:t>
            </w:r>
          </w:p>
        </w:tc>
        <w:tc>
          <w:tcPr>
            <w:tcW w:w="3255" w:type="dxa"/>
            <w:vMerge w:val="restart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установленная мощность – 4,859 Гкал/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, присоединенная нагрузка – 1,45 Гкал/ч, удельный расход топлива – 119 кг/Гкал</w:t>
            </w: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 КСВ-2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 КСВ-0,5ГС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150-125-315 30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150-125-315 30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100-65-200 15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100-80-60 15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циркуляционный (1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80-48-0,2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а 5,5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циркуляционный (1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80-48-03а 7,5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(2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32-404-1,1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(1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С25-205-0,75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теплообменник пластинчатый Sm47A-10 зав. № 047-270737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теплообменник пластинчатый Sm47A-10 зав. № 047-270738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В600-4Т-0300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В600-4Т-0300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А300-4Т-0150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А300-4Т-0150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узел учета расхода газа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65C34" w:rsidRPr="00965C34" w:rsidTr="00965C34">
        <w:trPr>
          <w:trHeight w:val="274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65C34" w:rsidRPr="00965C34" w:rsidTr="00965C34">
        <w:trPr>
          <w:trHeight w:val="274"/>
        </w:trPr>
        <w:tc>
          <w:tcPr>
            <w:tcW w:w="14793" w:type="dxa"/>
            <w:gridSpan w:val="4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65C34" w:rsidRPr="00965C34" w:rsidTr="00965C34">
        <w:trPr>
          <w:trHeight w:val="555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53" w:type="dxa"/>
            <w:gridSpan w:val="3"/>
          </w:tcPr>
          <w:p w:rsidR="00965C34" w:rsidRPr="00965C34" w:rsidRDefault="00965C34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нежилое, протяженность 2271,2 м, адрес объекта: Ханты-Мансийский автономный округ –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, Ханты-Мансийский район, д. Шапша, свидетельство о государственной регистрации права серия 86-АБ, № 987303 от 21.12.2014</w:t>
            </w:r>
          </w:p>
        </w:tc>
      </w:tr>
      <w:tr w:rsidR="00965C34" w:rsidRPr="00965C34" w:rsidTr="00965C34">
        <w:trPr>
          <w:trHeight w:val="336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053" w:type="dxa"/>
            <w:gridSpan w:val="3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 КСВ-3,15, инвентарный № 00-000008, балансовая стоимость – 1 850 000,00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Горелка «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Oilon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» GP-90H, инвентарный № 142015, балансовая стоимость – 408 718,00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Горелка «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Oilon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» GP-140H, инвентарный № 142014, балансовая стоимость – 469 800,00 руб.</w:t>
            </w:r>
          </w:p>
        </w:tc>
      </w:tr>
      <w:tr w:rsidR="00965C34" w:rsidRPr="00965C34" w:rsidTr="00965C34">
        <w:trPr>
          <w:trHeight w:val="324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Горелка GIERSCH MG10-Z-L-N, инвентарный № 00-000068, балансовая стоимость – 309 000,00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, инвентарный № 142062, балансовая стоимость – 1208201,59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Щит управления насосами 1 и 2 контура котельной, инвентарный № 141948, балансовая стоимость –  134 745,76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965C34">
              <w:rPr>
                <w:rFonts w:ascii="Times New Roman" w:hAnsi="Times New Roman"/>
                <w:sz w:val="24"/>
                <w:szCs w:val="24"/>
                <w:lang w:val="en-US"/>
              </w:rPr>
              <w:t>MXV</w:t>
            </w:r>
            <w:r w:rsidRPr="00965C34">
              <w:rPr>
                <w:rFonts w:ascii="Times New Roman" w:hAnsi="Times New Roman"/>
                <w:sz w:val="24"/>
                <w:szCs w:val="24"/>
              </w:rPr>
              <w:t xml:space="preserve"> 32-405, инвентарный № 141725, балансовая стоимость – 31 500,00 руб.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14782" w:type="dxa"/>
        <w:tblLook w:val="04A0"/>
      </w:tblPr>
      <w:tblGrid>
        <w:gridCol w:w="3695"/>
        <w:gridCol w:w="1191"/>
        <w:gridCol w:w="2504"/>
        <w:gridCol w:w="3696"/>
        <w:gridCol w:w="3696"/>
      </w:tblGrid>
      <w:tr w:rsidR="00965C34" w:rsidRPr="00965C34" w:rsidTr="00965C34">
        <w:trPr>
          <w:trHeight w:val="315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коэффициент значимости критерия конкурса (от 0 до 1). Сумма значений всех коэффициентов должна быть </w:t>
            </w:r>
          </w:p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965C34" w:rsidRPr="00965C34" w:rsidTr="00965C34">
        <w:trPr>
          <w:trHeight w:val="18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12 месяцев со дня заключения концессионного соглашения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65C34" w:rsidRPr="00965C34" w:rsidTr="00965C34">
        <w:trPr>
          <w:trHeight w:val="570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2)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по годам реализации </w:t>
            </w: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Концессионного соглашения, руб./Гкал</w:t>
            </w:r>
            <w:proofErr w:type="gramEnd"/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(без учета НДС)</w:t>
            </w: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2 263,26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2433,00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2603,31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2780,34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2969,40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3171,32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3386,97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3617,28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3863,26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4125,96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4406,53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4706,17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5026,19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5367,97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5732,99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6122,83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6539,18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6983,84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7458,74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7965,93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8507,61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9086,13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9703,99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10363,86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11068,60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11821,26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12625,11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13483,62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14400,51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15379,74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16425,56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41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162,61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65C34" w:rsidRPr="00965C34" w:rsidTr="00965C34">
        <w:trPr>
          <w:trHeight w:val="98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28,00 кВтч./ Гкал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65C34" w:rsidRPr="00965C34" w:rsidTr="00965C34">
        <w:trPr>
          <w:trHeight w:val="57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5) технологические потери тепловой энергии в сети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0,397 тыс. Гкал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29 апреля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6 сентября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lastRenderedPageBreak/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Конкурсной документацией и </w:t>
      </w:r>
      <w:r w:rsidRPr="00112B07">
        <w:rPr>
          <w:rFonts w:cs="Times New Roman"/>
          <w:lang w:val="ru-RU"/>
        </w:rPr>
        <w:lastRenderedPageBreak/>
        <w:t>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 сентября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lastRenderedPageBreak/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7 сентября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>29 ноября 2016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6 сентября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A3B7D"/>
    <w:rsid w:val="000D51AF"/>
    <w:rsid w:val="001429DF"/>
    <w:rsid w:val="00157708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E1574"/>
    <w:rsid w:val="00665BCB"/>
    <w:rsid w:val="0067646C"/>
    <w:rsid w:val="006B35AC"/>
    <w:rsid w:val="0077247A"/>
    <w:rsid w:val="0079775C"/>
    <w:rsid w:val="007F512D"/>
    <w:rsid w:val="00892DA4"/>
    <w:rsid w:val="008930D2"/>
    <w:rsid w:val="008C2C61"/>
    <w:rsid w:val="008E0180"/>
    <w:rsid w:val="008E3C96"/>
    <w:rsid w:val="0095307C"/>
    <w:rsid w:val="00960992"/>
    <w:rsid w:val="00965C34"/>
    <w:rsid w:val="00972123"/>
    <w:rsid w:val="009D429A"/>
    <w:rsid w:val="00A06627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66287"/>
    <w:rsid w:val="00E851B1"/>
    <w:rsid w:val="00EE6B8F"/>
    <w:rsid w:val="00EF1DAC"/>
    <w:rsid w:val="00EF799E"/>
    <w:rsid w:val="00F50E13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4</cp:revision>
  <cp:lastPrinted>2016-04-27T10:03:00Z</cp:lastPrinted>
  <dcterms:created xsi:type="dcterms:W3CDTF">2016-04-27T11:17:00Z</dcterms:created>
  <dcterms:modified xsi:type="dcterms:W3CDTF">2016-04-28T03:54:00Z</dcterms:modified>
</cp:coreProperties>
</file>